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</w:rPr>
        <w:t>ПРОЕКТ</w:t>
      </w:r>
    </w:p>
    <w:p>
      <w:r>
        <w:br/>
      </w:r>
    </w:p>
    <w:p>
      <w:pPr>
        <w:jc w:val="center"/>
      </w:pPr>
      <w:r>
        <w:rPr>
          <w:b/>
          <w:sz w:val="36"/>
        </w:rPr>
        <w:t>ПРОГРАММА РАЗВИТИЯ</w:t>
        <w:br/>
        <w:t>[ВИДА СПОРТА]</w:t>
        <w:br/>
        <w:t>В РОССИЙСКОЙ ФЕДЕРАЦИИ</w:t>
        <w:br/>
        <w:t>НА [20__-20__] ГОДЫ</w:t>
      </w:r>
    </w:p>
    <w:p>
      <w:pPr>
        <w:jc w:val="center"/>
      </w:pPr>
      <w:r>
        <w:br/>
        <w:t>[ПОЛНОЕ НАИМЕНОВАНИЕ ОБЩЕРОССИЙСКОЙ СПОРТИВНОЙ ФЕДЕРАЦИИ]</w:t>
      </w:r>
    </w:p>
    <w:p>
      <w:r>
        <w:br/>
      </w:r>
    </w:p>
    <w:p>
      <w:pPr>
        <w:jc w:val="center"/>
      </w:pPr>
      <w:r>
        <w:t>[ГОРОД]</w:t>
        <w:br/>
        <w:t>[ГОД]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689"/>
      </w:tblGrid>
      <w:tr>
        <w:tc>
          <w:tcPr>
            <w:tcW w:type="dxa" w:w="9689"/>
            <w:shd w:fill="FFF4F4"/>
            <w:tcBorders>
              <w:top w:val="single" w:sz="8" w:color="E30613"/>
              <w:left w:val="single" w:sz="8" w:color="E30613"/>
              <w:bottom w:val="single" w:sz="8" w:color="E30613"/>
              <w:right w:val="single" w:sz="8" w:color="E30613"/>
              <w:insideH w:val="single" w:sz="8" w:color="E30613"/>
              <w:insideV w:val="single" w:sz="8" w:color="E30613"/>
            </w:tcBorders>
          </w:tcPr>
          <w:p>
            <w:pPr>
              <w:ind w:firstLine="0"/>
            </w:pPr>
            <w:r>
              <w:rPr>
                <w:b/>
                <w:sz w:val="20"/>
              </w:rPr>
              <w:t>ПОДСКАЗКА SPORT ROST - УДАЛИТЬ ПЕРЕД ПОДАЧЕЙ. Шаблон следует структуре приказа Минспорта №503 в редакции от 15.11.2024, действующей с 01.01.2025. Параметры страницы настроены по пункту 3 №503: A4; верх/низ 2 см; левое поле 3 см; правое 1,5 см; Times New Roman 14; межстрочный интервал 1,15; красная строка 1,25 см; номер страницы сверху по центру, на титульном листе номер не показывается.</w:t>
            </w:r>
          </w:p>
        </w:tc>
      </w:tr>
    </w:tbl>
    <w:p/>
    <w:p>
      <w:pPr>
        <w:pStyle w:val="Heading1"/>
      </w:pPr>
      <w:r>
        <w:t>1. Паспорт программы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44"/>
        <w:gridCol w:w="4844"/>
      </w:tblGrid>
      <w:tr>
        <w:trPr>
          <w:tblHeader w:val="true"/>
        </w:trPr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Элемент паспорта</w:t>
            </w:r>
          </w:p>
        </w:tc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Содержание</w:t>
            </w:r>
          </w:p>
        </w:tc>
      </w:tr>
      <w:tr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Наименование программы</w:t>
            </w:r>
          </w:p>
        </w:tc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Программа развития [ВИДА СПОРТА] в Российской Федерации на [20__-20__] годы</w:t>
            </w:r>
          </w:p>
        </w:tc>
      </w:tr>
      <w:tr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Наименование Федерации</w:t>
            </w:r>
          </w:p>
        </w:tc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[ПОЛНОЕ НАИМЕНОВАНИЕ]</w:t>
            </w:r>
          </w:p>
        </w:tc>
      </w:tr>
      <w:tr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Реквизиты документа коллегиального органа об одобрении программы</w:t>
            </w:r>
          </w:p>
        </w:tc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[ПРОТОКОЛ / ДАТА / №]</w:t>
            </w:r>
          </w:p>
        </w:tc>
      </w:tr>
      <w:tr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Цель программы</w:t>
            </w:r>
          </w:p>
        </w:tc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[ЗАПОЛНИТЬ]</w:t>
            </w:r>
          </w:p>
        </w:tc>
      </w:tr>
      <w:tr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Задачи программы</w:t>
            </w:r>
          </w:p>
        </w:tc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[ЗАПОЛНИТЬ]</w:t>
            </w:r>
          </w:p>
        </w:tc>
      </w:tr>
      <w:tr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Приоритетные направления</w:t>
            </w:r>
          </w:p>
        </w:tc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[ЗАПОЛНИТЬ]</w:t>
            </w:r>
          </w:p>
        </w:tc>
      </w:tr>
      <w:tr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Целевые показатели реализации</w:t>
            </w:r>
          </w:p>
        </w:tc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[ЗАПОЛНИТЬ]</w:t>
            </w:r>
          </w:p>
        </w:tc>
      </w:tr>
      <w:tr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Объёмы и источники финансирования</w:t>
            </w:r>
          </w:p>
        </w:tc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[ЗАПОЛНИТЬ]</w:t>
            </w:r>
          </w:p>
        </w:tc>
      </w:tr>
      <w:tr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Ожидаемые результаты</w:t>
            </w:r>
          </w:p>
        </w:tc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[ЗАПОЛНИТЬ]</w:t>
            </w:r>
          </w:p>
        </w:tc>
      </w:tr>
      <w:tr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Механизм реализации</w:t>
            </w:r>
          </w:p>
        </w:tc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[ЗАПОЛНИТЬ]</w:t>
            </w:r>
          </w:p>
        </w:tc>
      </w:tr>
      <w:tr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Сроки и этапы реализации</w:t>
            </w:r>
          </w:p>
        </w:tc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[ЗАПОЛНИТЬ]</w:t>
            </w:r>
          </w:p>
        </w:tc>
      </w:tr>
      <w:tr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Контроль реализации</w:t>
            </w:r>
          </w:p>
        </w:tc>
        <w:tc>
          <w:tcPr>
            <w:tcW w:type="dxa" w:w="484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2"/>
              </w:rPr>
              <w:t>[ЗАПОЛНИТЬ]</w:t>
            </w:r>
          </w:p>
        </w:tc>
      </w:tr>
    </w:tbl>
    <w:p>
      <w:pPr>
        <w:pStyle w:val="Heading1"/>
      </w:pPr>
      <w:r>
        <w:t>2. Анализ состояния и перспективы развития вида спорта в мире</w:t>
      </w:r>
    </w:p>
    <w:p>
      <w:pPr>
        <w:pStyle w:val="Heading2"/>
      </w:pPr>
      <w:r>
        <w:t>2.1. Тенденции развития вида спорта и его спортивных дисциплин</w:t>
      </w:r>
    </w:p>
    <w:p>
      <w:r>
        <w:t>[Проанализируйте развитие вида спорта в Европе и других странах мира.]</w:t>
      </w:r>
    </w:p>
    <w:p>
      <w:pPr>
        <w:pStyle w:val="Heading2"/>
      </w:pPr>
      <w:r>
        <w:t>2.2. Сравнительный анализ результатов сборной России за предыдущие четыре года</w:t>
      </w:r>
    </w:p>
    <w:p>
      <w:r>
        <w:t>[Для не первой программы сравните результаты с национальными сборными стран-лидеров и, когда применимо, сильнейшими юниорскими сборными.]</w:t>
      </w:r>
    </w:p>
    <w:p>
      <w:pPr>
        <w:pStyle w:val="Heading2"/>
      </w:pPr>
      <w:r>
        <w:t>2.3. Основные соперники и перспективы выступления сборной России</w:t>
      </w:r>
    </w:p>
    <w:p>
      <w:r>
        <w:t>[Назовите предполагаемых соперников и обоснуйте прогноз на ближайшее четырёхлетие.]</w:t>
      </w:r>
    </w:p>
    <w:p>
      <w:pPr>
        <w:pStyle w:val="Heading2"/>
      </w:pPr>
      <w:r>
        <w:t>2.4. Обеспеченность объектами спорта в странах-лидерах</w:t>
      </w:r>
    </w:p>
    <w:p>
      <w:r>
        <w:t>[При наличии сведений сравните доступность объектов для занятий, подготовки и соревнований.]</w:t>
      </w:r>
    </w:p>
    <w:p>
      <w:pPr>
        <w:pStyle w:val="Heading2"/>
      </w:pPr>
      <w:r>
        <w:t>2.5. Современный спортивный инвентарь, оборудование и экипировка</w:t>
      </w:r>
    </w:p>
    <w:p>
      <w:r>
        <w:t>[При наличии сведений отразите производство и технологические решения в странах-лидерах.]</w:t>
      </w:r>
    </w:p>
    <w:p>
      <w:pPr>
        <w:ind w:firstLine="0"/>
      </w:pPr>
      <w:r>
        <w:rPr>
          <w:b/>
          <w:color w:val="E30613"/>
          <w:sz w:val="20"/>
        </w:rPr>
        <w:t>ПОДСКАЗКА SPORT ROST - УДАЛИТЬ: подпункт 2.2 «з» приказа №503 утратил силу с 01.01.2025.</w:t>
      </w:r>
    </w:p>
    <w:p>
      <w:pPr>
        <w:pStyle w:val="Heading1"/>
      </w:pPr>
      <w:r>
        <w:t>3. Анализ состояния и перспектив развития вида спорта в Российской Федерации</w:t>
      </w:r>
    </w:p>
    <w:p>
      <w:pPr>
        <w:pStyle w:val="Heading2"/>
      </w:pPr>
      <w:r>
        <w:t>3.1. Динамика численности занимающихся</w:t>
      </w:r>
    </w:p>
    <w:p>
      <w:r>
        <w:t>[Используйте актуальные сведения федерального статистического наблюдения.]</w:t>
      </w:r>
    </w:p>
    <w:p>
      <w:pPr>
        <w:pStyle w:val="Heading2"/>
      </w:pPr>
      <w:r>
        <w:t>3.2. Динамика количества тренеров</w:t>
      </w:r>
    </w:p>
    <w:p>
      <w:r>
        <w:t>[Покажите динамику и потребность в тренерах / тренерах-преподавателях.]</w:t>
      </w:r>
    </w:p>
    <w:p>
      <w:pPr>
        <w:pStyle w:val="Heading2"/>
      </w:pPr>
      <w:r>
        <w:t>3.3. Развитие вида спорта в субъектах РФ и муниципальных образованиях</w:t>
      </w:r>
    </w:p>
    <w:p>
      <w:r>
        <w:t>[Отразите динамику РСФ, базовых видов спорта, синхронизацию региональных программ, массовые мероприятия, инфраструктуру и физкультурно-спортивные организации.]</w:t>
      </w:r>
    </w:p>
    <w:p>
      <w:pPr>
        <w:pStyle w:val="Heading2"/>
      </w:pPr>
      <w:r>
        <w:t>3.4. Производство спортивного инвентаря и оборудования</w:t>
      </w:r>
    </w:p>
    <w:p>
      <w:r>
        <w:t>[Опишите принятые меры по созданию или поддержке производства.]</w:t>
      </w:r>
    </w:p>
    <w:p>
      <w:pPr>
        <w:pStyle w:val="Heading2"/>
      </w:pPr>
      <w:r>
        <w:t>3.5. Научно-методическое обеспечение</w:t>
      </w:r>
    </w:p>
    <w:p>
      <w:r>
        <w:t>[Укажите внедрённые научно обоснованные предложения, методические разработки и релевантные сведения о специалистах.]</w:t>
      </w:r>
    </w:p>
    <w:p>
      <w:pPr>
        <w:pStyle w:val="Heading2"/>
      </w:pPr>
      <w:r>
        <w:t>3.6. Антидопинговые мероприятия</w:t>
      </w:r>
    </w:p>
    <w:p>
      <w:r>
        <w:t>[Укажите количество и перечень мероприятий по предотвращению допинга и борьбе с ним.]</w:t>
      </w:r>
    </w:p>
    <w:p>
      <w:pPr>
        <w:pStyle w:val="Heading2"/>
      </w:pPr>
      <w:r>
        <w:t>3.7. Пропаганда вида спорта</w:t>
      </w:r>
    </w:p>
    <w:p>
      <w:r>
        <w:t>[Укажите количество реализованных мероприятий по пропаганде вида спорта.]</w:t>
      </w:r>
    </w:p>
    <w:p>
      <w:pPr>
        <w:pStyle w:val="Heading2"/>
      </w:pPr>
      <w:r>
        <w:t>3.8. Проблемы развития</w:t>
      </w:r>
    </w:p>
    <w:p>
      <w:r>
        <w:t>[Перечислите ключевые проблемы и проанализируйте причины их возникновения.]</w:t>
      </w:r>
    </w:p>
    <w:p>
      <w:pPr>
        <w:pStyle w:val="Heading2"/>
      </w:pPr>
      <w:r>
        <w:t>3.9. Предложения по решению проблем</w:t>
      </w:r>
    </w:p>
    <w:p>
      <w:r>
        <w:t>[Дайте обоснованные предложения федерального и/или регионального уровня.]</w:t>
      </w:r>
    </w:p>
    <w:p>
      <w:pPr>
        <w:pStyle w:val="Heading2"/>
      </w:pPr>
      <w:r>
        <w:t>3.10. Риски реализации программы</w:t>
      </w:r>
    </w:p>
    <w:p>
      <w:r>
        <w:t>[Опишите риски, вероятность/влияние и меры управления.]</w:t>
      </w:r>
    </w:p>
    <w:p>
      <w:pPr>
        <w:pStyle w:val="Heading2"/>
      </w:pPr>
      <w:r>
        <w:t>3.11. Взаимодействие с образовательными организациями</w:t>
      </w:r>
    </w:p>
    <w:p>
      <w:r>
        <w:t>[Опишите результаты сотрудничества по подготовке, переподготовке и повышению квалификации специалистов, включая цифровые компетенции.]</w:t>
      </w:r>
    </w:p>
    <w:p>
      <w:pPr>
        <w:pStyle w:val="Heading2"/>
      </w:pPr>
      <w:r>
        <w:t>3.12. Цифровой учёт</w:t>
      </w:r>
    </w:p>
    <w:p>
      <w:r>
        <w:t>[Опишите внедрение систем учёта спортсменов, результатов, спортивных судей, тренеров и иных специалистов.]</w:t>
      </w:r>
    </w:p>
    <w:p>
      <w:pPr>
        <w:ind w:firstLine="0"/>
      </w:pPr>
      <w:r>
        <w:rPr>
          <w:b/>
          <w:color w:val="E30613"/>
          <w:sz w:val="20"/>
        </w:rPr>
        <w:t>ПОДСКАЗКА SPORT ROST - УДАЛИТЬ: подпункты 2.3 «г» и «з» приказа №503 утратили силу с 01.01.2025.</w:t>
      </w:r>
    </w:p>
    <w:p>
      <w:pPr>
        <w:pStyle w:val="Heading1"/>
      </w:pPr>
      <w:r>
        <w:t>4. Целевые показатели, сроки и этапы. Ожидаемые результаты</w:t>
      </w:r>
    </w:p>
    <w:p>
      <w:r>
        <w:t>[Сформируйте измеримые показатели, связанные с целями и задачами программы. Для каждого задайте базу, план по годам/этапам, источник данных и ответственного.]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384"/>
        <w:gridCol w:w="1384"/>
        <w:gridCol w:w="1384"/>
        <w:gridCol w:w="1384"/>
        <w:gridCol w:w="1384"/>
        <w:gridCol w:w="1384"/>
        <w:gridCol w:w="1384"/>
      </w:tblGrid>
      <w:tr>
        <w:trPr>
          <w:tblHeader w:val="true"/>
        </w:trPr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color w:val="FFFFFF"/>
                <w:sz w:val="20"/>
              </w:rPr>
              <w:t>Показатель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color w:val="FFFFFF"/>
                <w:sz w:val="20"/>
              </w:rPr>
              <w:t>Ед.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color w:val="FFFFFF"/>
                <w:sz w:val="20"/>
              </w:rPr>
              <w:t>База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color w:val="FFFFFF"/>
                <w:sz w:val="20"/>
              </w:rPr>
              <w:t>Год 1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color w:val="FFFFFF"/>
                <w:sz w:val="20"/>
              </w:rPr>
              <w:t>Год 2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color w:val="FFFFFF"/>
                <w:sz w:val="20"/>
              </w:rPr>
              <w:t>Год 3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color w:val="FFFFFF"/>
                <w:sz w:val="20"/>
              </w:rPr>
              <w:t>Год 4 / итог</w:t>
            </w:r>
          </w:p>
        </w:tc>
      </w:tr>
      <w:tr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Результаты сборной России на международных соревнованиях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</w:tr>
      <w:tr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Численность занимающихся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</w:tr>
      <w:tr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Численность тренеров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</w:tr>
      <w:tr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Количество региональных спортивных федераций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</w:tr>
      <w:tr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Физкультурные мероприятия для разных групп населения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</w:tr>
      <w:tr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Количество спортивных судей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</w:tr>
      <w:tr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Антидопинговые мероприятия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</w:tr>
      <w:tr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Повышение квалификации тренеров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</w:tr>
      <w:tr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Повышение квалификации спортивных судей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</w:tr>
      <w:tr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Научно-методические разработки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</w:tr>
      <w:tr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Иной показатель с учётом специфики вида спорта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  <w:tc>
          <w:tcPr>
            <w:tcW w:type="dxa" w:w="138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20"/>
              </w:rPr>
              <w:t>[ ]</w:t>
            </w:r>
          </w:p>
        </w:tc>
      </w:tr>
    </w:tbl>
    <w:p>
      <w:pPr>
        <w:pStyle w:val="Heading1"/>
      </w:pPr>
      <w:r>
        <w:t>5. Критерии формирования спортивной сборной команды Российской Федерации</w:t>
      </w:r>
    </w:p>
    <w:p>
      <w:r>
        <w:t>[Раздел применяется для видов спорта (спортивных дисциплин), не включённых в программу Олимпийских, Паралимпийских и Сурдлимпийских игр. Если он неприменим, не заполняйте его механически - сверьте структуру конкретной программы с пунктом 2 №503.]</w:t>
      </w:r>
    </w:p>
    <w:p>
      <w:pPr>
        <w:pStyle w:val="Heading2"/>
      </w:pPr>
      <w:r>
        <w:t>5.1. Принципы и критерии отбора</w:t>
      </w:r>
    </w:p>
    <w:p>
      <w:r>
        <w:t>[ЗАПОЛНИТЬ]</w:t>
      </w:r>
    </w:p>
    <w:p>
      <w:pPr>
        <w:pStyle w:val="Heading2"/>
      </w:pPr>
      <w:r>
        <w:t>5.2. Контрольные и отборочные соревнования</w:t>
      </w:r>
    </w:p>
    <w:p>
      <w:r>
        <w:t>[ЗАПОЛНИТЬ]</w:t>
      </w:r>
    </w:p>
    <w:p>
      <w:pPr>
        <w:pStyle w:val="Heading2"/>
      </w:pPr>
      <w:r>
        <w:t>5.3. Критерии спортивной формы и результатов</w:t>
      </w:r>
    </w:p>
    <w:p>
      <w:r>
        <w:t>[ЗАПОЛНИТЬ]</w:t>
      </w:r>
    </w:p>
    <w:p>
      <w:pPr>
        <w:pStyle w:val="Heading2"/>
      </w:pPr>
      <w:r>
        <w:t>5.4. Порядок формирования основного и резервного состава</w:t>
      </w:r>
    </w:p>
    <w:p>
      <w:r>
        <w:t>[ЗАПОЛНИТЬ]</w:t>
      </w:r>
    </w:p>
    <w:p>
      <w:pPr>
        <w:pStyle w:val="Heading2"/>
      </w:pPr>
      <w:r>
        <w:t>5.5. Порядок актуализации состава</w:t>
      </w:r>
    </w:p>
    <w:p>
      <w:r>
        <w:t>[ЗАПОЛНИТЬ]</w:t>
      </w:r>
    </w:p>
    <w:p>
      <w:pPr>
        <w:pStyle w:val="Heading1"/>
      </w:pPr>
      <w:r>
        <w:t>6. Программные мероприятия, сроки и финансирование</w:t>
      </w:r>
    </w:p>
    <w:p>
      <w:r>
        <w:t>[Для каждого мероприятия укажите связь с целевым показателем, ответственный орган/исполнителей, сроки, документ-основание, объём и источник бюджетного/внебюджетного финансирования.]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211"/>
        <w:gridCol w:w="1211"/>
        <w:gridCol w:w="1211"/>
        <w:gridCol w:w="1211"/>
        <w:gridCol w:w="1211"/>
        <w:gridCol w:w="1211"/>
        <w:gridCol w:w="1211"/>
        <w:gridCol w:w="1211"/>
      </w:tblGrid>
      <w:tr>
        <w:trPr>
          <w:tblHeader w:val="true"/>
        </w:trPr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color w:val="FFFFFF"/>
                <w:sz w:val="18"/>
              </w:rPr>
              <w:t>№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color w:val="FFFFFF"/>
                <w:sz w:val="18"/>
              </w:rPr>
              <w:t>Направление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color w:val="FFFFFF"/>
                <w:sz w:val="18"/>
              </w:rPr>
              <w:t>Мероприятие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color w:val="FFFFFF"/>
                <w:sz w:val="18"/>
              </w:rPr>
              <w:t>Показатель / результат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color w:val="FFFFFF"/>
                <w:sz w:val="18"/>
              </w:rPr>
              <w:t>Ответственный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color w:val="FFFFFF"/>
                <w:sz w:val="18"/>
              </w:rPr>
              <w:t>Срок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color w:val="FFFFFF"/>
                <w:sz w:val="18"/>
              </w:rPr>
              <w:t>Документ-основание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1A1A1A"/>
          </w:tcPr>
          <w:p>
            <w:pPr>
              <w:ind w:firstLine="0"/>
            </w:pPr>
            <w:r>
              <w:rPr>
                <w:rFonts w:ascii="Times New Roman" w:hAnsi="Times New Roman"/>
                <w:b/>
                <w:color w:val="FFFFFF"/>
                <w:sz w:val="18"/>
              </w:rPr>
              <w:t>Финансирование / источник</w:t>
            </w:r>
          </w:p>
        </w:tc>
      </w:tr>
      <w:tr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</w:tr>
      <w:tr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</w:tr>
      <w:tr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</w:tr>
      <w:tr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</w:tr>
      <w:tr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</w:tr>
      <w:tr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</w:tr>
      <w:tr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</w:tr>
      <w:tr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  <w:tc>
          <w:tcPr>
            <w:tcW w:type="dxa" w:w="121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  <w:insideH w:val="single" w:sz="6" w:color="D9D9D9"/>
              <w:insideV w:val="single" w:sz="6" w:color="D9D9D9"/>
            </w:tcBorders>
            <w:shd w:fill="FAFAFA"/>
          </w:tcPr>
          <w:p>
            <w:pPr>
              <w:ind w:firstLine="0"/>
            </w:pPr>
            <w:r>
              <w:rPr>
                <w:rFonts w:ascii="Times New Roman" w:hAnsi="Times New Roman"/>
                <w:sz w:val="18"/>
              </w:rPr>
              <w:t>[ЗАПОЛНИТЬ]</w:t>
            </w:r>
          </w:p>
        </w:tc>
      </w:tr>
    </w:tbl>
    <w:p>
      <w:pPr>
        <w:pStyle w:val="Heading1"/>
      </w:pPr>
      <w:r>
        <w:t>7. Целевая комплексная программа подготовки к Играм</w:t>
      </w:r>
    </w:p>
    <w:p>
      <w:r>
        <w:t>[Раздел включается для видов спорта, входящих в программу Олимпийских, Паралимпийских или Сурдлимпийских игр. Для неприменимого вида спорта раздел не заполняется.]</w:t>
      </w:r>
    </w:p>
    <w:p>
      <w:pPr>
        <w:pStyle w:val="Heading2"/>
      </w:pPr>
      <w:r>
        <w:t>7.1. Цели, задачи и целевые показатели подготовки к Играм</w:t>
      </w:r>
    </w:p>
    <w:p>
      <w:r>
        <w:t>[ЗАПОЛНИТЬ]</w:t>
      </w:r>
    </w:p>
    <w:p>
      <w:pPr>
        <w:pStyle w:val="Heading2"/>
      </w:pPr>
      <w:r>
        <w:t>7.2. Целевые показатели выступления сборной России на предстоящих Играх</w:t>
      </w:r>
    </w:p>
    <w:p>
      <w:r>
        <w:t>[ЗАПОЛНИТЬ]</w:t>
      </w:r>
    </w:p>
    <w:p>
      <w:pPr>
        <w:pStyle w:val="Heading2"/>
      </w:pPr>
      <w:r>
        <w:t>7.3. Основы подготовки российских спортсменов к предстоящим Играм</w:t>
      </w:r>
    </w:p>
    <w:p>
      <w:r>
        <w:t>[ЗАПОЛНИТЬ]</w:t>
      </w:r>
    </w:p>
    <w:p>
      <w:pPr>
        <w:pStyle w:val="Heading2"/>
      </w:pPr>
      <w:r>
        <w:t>7.4. Критерии формирования олимпийской / паралимпийской / сурдлимпийской команды</w:t>
      </w:r>
    </w:p>
    <w:p>
      <w:r>
        <w:t>[ЗАПОЛНИТЬ]</w:t>
      </w:r>
    </w:p>
    <w:p>
      <w:pPr>
        <w:pStyle w:val="Heading2"/>
      </w:pPr>
      <w:r>
        <w:t>7.5. Научно-методическое, медико-биологическое и антидопинговое обеспечение</w:t>
      </w:r>
    </w:p>
    <w:p>
      <w:r>
        <w:t>[ЗАПОЛНИТЬ]</w:t>
      </w:r>
    </w:p>
    <w:p>
      <w:pPr>
        <w:pStyle w:val="Heading2"/>
      </w:pPr>
      <w:r>
        <w:t>7.6. Условия учебно-тренировочного процесса и объекты подготовки</w:t>
      </w:r>
    </w:p>
    <w:p>
      <w:r>
        <w:t>[ЗАПОЛНИТЬ]</w:t>
      </w:r>
    </w:p>
    <w:p>
      <w:pPr>
        <w:pStyle w:val="Heading2"/>
      </w:pPr>
      <w:r>
        <w:t>7.7. Структура спортивной сборной команды Российской Федерации</w:t>
      </w:r>
    </w:p>
    <w:p>
      <w:r>
        <w:t>[ЗАПОЛНИТЬ]</w:t>
      </w:r>
    </w:p>
    <w:p>
      <w:pPr>
        <w:pStyle w:val="Heading2"/>
      </w:pPr>
      <w:r>
        <w:t>7.8. Повышение квалификации тренеров и иных специалистов</w:t>
      </w:r>
    </w:p>
    <w:p>
      <w:r>
        <w:t>[ЗАПОЛНИТЬ]</w:t>
      </w:r>
    </w:p>
    <w:p>
      <w:pPr>
        <w:pStyle w:val="Heading2"/>
      </w:pPr>
      <w:r>
        <w:t>7.9. Материально-техническое и финансовое обеспечение подготовки</w:t>
      </w:r>
    </w:p>
    <w:p>
      <w:r>
        <w:t>[ЗАПОЛНИТЬ]</w:t>
      </w:r>
    </w:p>
    <w:p>
      <w:pPr>
        <w:pStyle w:val="Heading1"/>
      </w:pPr>
      <w:r>
        <w:t>8. Контрольная страница перед направлением в Минспорт</w:t>
      </w:r>
    </w:p>
    <w:p>
      <w:pPr>
        <w:ind w:firstLine="0"/>
      </w:pPr>
      <w:r>
        <w:t>□ Программа рассчитана на четыре года.</w:t>
      </w:r>
    </w:p>
    <w:p>
      <w:pPr>
        <w:ind w:firstLine="0"/>
      </w:pPr>
      <w:r>
        <w:t>□ Структура сверена с актуальной редакцией №503 (ред. от 15.11.2024).</w:t>
      </w:r>
    </w:p>
    <w:p>
      <w:pPr>
        <w:ind w:firstLine="0"/>
      </w:pPr>
      <w:r>
        <w:t>□ Подпункты, утратившие силу с 01.01.2025, не восстановлены из старых шаблонов.</w:t>
      </w:r>
    </w:p>
    <w:p>
      <w:pPr>
        <w:ind w:firstLine="0"/>
      </w:pPr>
      <w:r>
        <w:t>□ Программа одобрена постоянно действующим руководящим коллегиальным органом Федерации; реквизиты внесены в паспорт.</w:t>
      </w:r>
    </w:p>
    <w:p>
      <w:pPr>
        <w:ind w:firstLine="0"/>
      </w:pPr>
      <w:r>
        <w:t>□ Проверен срок представления проекта по пункту 4 №503 для конкретного типа вида спорта.</w:t>
      </w:r>
    </w:p>
    <w:p>
      <w:pPr>
        <w:ind w:firstLine="0"/>
      </w:pPr>
      <w:r>
        <w:t>□ Подготовлено заявление об утверждении программы в произвольной форме, подписанное уполномоченным лицом.</w:t>
      </w:r>
    </w:p>
    <w:p>
      <w:pPr>
        <w:ind w:firstLine="0"/>
      </w:pPr>
      <w:r>
        <w:t>□ Проверено соответствие требованиям оформления пункта 3 №503.</w:t>
      </w:r>
    </w:p>
    <w:p>
      <w:pPr>
        <w:ind w:firstLine="0"/>
      </w:pPr>
      <w:r>
        <w:t>□ После утверждения запланировано опубликование программы на сайте Федерации в течение 10 рабочих дней; закрытый раздел ЦКП не публикуется.</w:t>
      </w:r>
    </w:p>
    <w:p>
      <w:pPr>
        <w:pStyle w:val="Heading1"/>
      </w:pPr>
      <w:r>
        <w:t>Нормативный источник</w:t>
      </w:r>
    </w:p>
    <w:p>
      <w:pPr>
        <w:ind w:firstLine="0"/>
      </w:pPr>
      <w:r>
        <w:rPr>
          <w:b/>
        </w:rPr>
        <w:t xml:space="preserve">Приказ Минспорта России №503: </w:t>
      </w:r>
      <w:hyperlink r:id="rId10">
        <w:r>
          <w:rPr>
            <w:color w:val="0563C1"/>
            <w:u w:val="single"/>
          </w:rPr>
          <w:t>https://www.consultant.ru/document/cons_doc_LAW_392509/</w:t>
        </w:r>
      </w:hyperlink>
    </w:p>
    <w:sectPr w:rsidR="00FC693F" w:rsidRPr="0006063C" w:rsidSect="00034616">
      <w:headerReference w:type="default" r:id="rId9"/>
      <w:pgSz w:w="12240" w:h="15840"/>
      <w:pgMar w:top="1134" w:right="850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sz w:val="20"/>
      </w:rPr>
      <w:fldChar w:fldCharType="begin"/>
      <w:instrText xml:space="preserve"> PAGE </w:instrText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0"/>
      <w:ind w:firstLine="709"/>
    </w:pPr>
    <w:rPr>
      <w:rFonts w:ascii="Times New Roman" w:hAnsi="Times New Roman" w:eastAsia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ind w:firstLine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ind w:firstLine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ind w:firstLine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ind w:firstLin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yperlink" Target="https://www.consultant.ru/document/cons_doc_LAW_39250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